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FC0391" w:rsidRPr="00F112BB" w:rsidTr="002D5EE3">
        <w:tc>
          <w:tcPr>
            <w:tcW w:w="2776" w:type="pct"/>
            <w:vAlign w:val="bottom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bookmarkStart w:id="1" w:name="_Hlk105751005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FC0391" w:rsidRPr="00F112BB" w:rsidTr="002D5EE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FC0391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FC0391" w:rsidRPr="00F112BB" w:rsidTr="002D5EE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112BB" w:rsidRDefault="00FC0391" w:rsidP="00FC039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FC0391" w:rsidRPr="00F112BB" w:rsidTr="002D5EE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112BB" w:rsidRDefault="00FC0391" w:rsidP="00FC039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FC0391" w:rsidRPr="00F112BB" w:rsidTr="002D5EE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112BB" w:rsidRDefault="00FC0391" w:rsidP="00FC039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FC0391" w:rsidRPr="00F112BB" w:rsidTr="002D5EE3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112BB" w:rsidRDefault="00FC0391" w:rsidP="00FC0391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112BB" w:rsidRDefault="00FC0391" w:rsidP="002D5EE3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112BB" w:rsidRDefault="00FC0391" w:rsidP="002D5EE3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FC0391" w:rsidRDefault="00FC0391" w:rsidP="00FC0391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FC0391" w:rsidRDefault="00FC0391" w:rsidP="00FC0391">
      <w:pPr>
        <w:autoSpaceDE w:val="0"/>
        <w:spacing w:before="57" w:after="57"/>
        <w:rPr>
          <w:rFonts w:asciiTheme="minorHAnsi" w:hAnsiTheme="minorHAnsi" w:cstheme="minorHAnsi"/>
          <w:b/>
          <w:sz w:val="24"/>
          <w:u w:val="double"/>
          <w:lang w:val="el-GR"/>
        </w:rPr>
      </w:pPr>
    </w:p>
    <w:tbl>
      <w:tblPr>
        <w:tblW w:w="57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655"/>
        <w:gridCol w:w="4326"/>
        <w:gridCol w:w="1180"/>
        <w:gridCol w:w="663"/>
        <w:gridCol w:w="1180"/>
        <w:gridCol w:w="1442"/>
      </w:tblGrid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C0391" w:rsidRPr="00276034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Cs w:val="19"/>
                <w:u w:val="double"/>
                <w:lang w:val="el-GR" w:eastAsia="el-GR"/>
              </w:rPr>
            </w:pPr>
            <w:r w:rsidRPr="00276034">
              <w:rPr>
                <w:rFonts w:asciiTheme="minorHAnsi" w:hAnsiTheme="minorHAnsi" w:cstheme="minorHAnsi"/>
                <w:b/>
                <w:color w:val="000000"/>
                <w:szCs w:val="19"/>
                <w:u w:val="double"/>
                <w:lang w:val="el-GR" w:eastAsia="el-GR"/>
              </w:rPr>
              <w:lastRenderedPageBreak/>
              <w:t>ΤΕΧΝΙΚΕΣ ΠΡΟΔΙΑΓΡΑΦΕΣ ΕΙΔΩΝ</w:t>
            </w: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474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proofErr w:type="spellStart"/>
            <w:r w:rsidRPr="00FA4CD6">
              <w:rPr>
                <w:b/>
                <w:bCs/>
                <w:color w:val="000000"/>
                <w:sz w:val="19"/>
                <w:szCs w:val="19"/>
                <w:lang w:eastAsia="el-GR"/>
              </w:rPr>
              <w:t>Είδος</w:t>
            </w:r>
            <w:proofErr w:type="spellEnd"/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474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color w:val="000000"/>
                <w:sz w:val="19"/>
                <w:szCs w:val="19"/>
                <w:lang w:val="el-GR" w:eastAsia="el-GR"/>
              </w:rPr>
              <w:t>Ομάδα  αντιδραστηρίων -</w:t>
            </w:r>
            <w:proofErr w:type="spellStart"/>
            <w:r w:rsidRPr="00FA4CD6">
              <w:rPr>
                <w:color w:val="000000"/>
                <w:sz w:val="19"/>
                <w:szCs w:val="19"/>
                <w:lang w:val="el-GR" w:eastAsia="el-GR"/>
              </w:rPr>
              <w:t>κιτ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δημιουργίας βιβλιοθηκών και </w:t>
            </w:r>
            <w:proofErr w:type="spellStart"/>
            <w:r w:rsidRPr="00FA4CD6">
              <w:rPr>
                <w:color w:val="000000"/>
                <w:sz w:val="19"/>
                <w:szCs w:val="19"/>
                <w:lang w:val="el-GR" w:eastAsia="el-GR"/>
              </w:rPr>
              <w:t>αλληλούχισης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(</w:t>
            </w:r>
            <w:proofErr w:type="spellStart"/>
            <w:r w:rsidRPr="00FA4CD6">
              <w:rPr>
                <w:color w:val="000000"/>
                <w:sz w:val="19"/>
                <w:szCs w:val="19"/>
                <w:lang w:val="en-US" w:eastAsia="el-GR"/>
              </w:rPr>
              <w:t>scRNA</w:t>
            </w:r>
            <w:proofErr w:type="spellEnd"/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miRNAs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total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 xml:space="preserve">, </w:t>
            </w:r>
            <w:r w:rsidRPr="00FA4CD6">
              <w:rPr>
                <w:color w:val="000000"/>
                <w:sz w:val="19"/>
                <w:szCs w:val="19"/>
                <w:lang w:val="en-US" w:eastAsia="el-GR"/>
              </w:rPr>
              <w:t>mRNAs</w:t>
            </w:r>
            <w:r w:rsidRPr="00FA4CD6">
              <w:rPr>
                <w:color w:val="000000"/>
                <w:sz w:val="19"/>
                <w:szCs w:val="19"/>
                <w:lang w:val="el-GR" w:eastAsia="el-GR"/>
              </w:rPr>
              <w:t>). Στο πακέτο προσφορών πρέπει απαραιτήτως να περιλαμβάνονται τα είδη που περιγράφονται από τον πίνακα 1.1 ως 1.6</w:t>
            </w:r>
          </w:p>
        </w:tc>
      </w:tr>
      <w:tr w:rsidR="00FC0391" w:rsidRPr="00FA4CD6" w:rsidTr="00FC0391">
        <w:trPr>
          <w:cantSplit/>
          <w:trHeight w:val="531"/>
          <w:tblHeader/>
          <w:jc w:val="center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bookmarkStart w:id="2" w:name="_GoBack" w:colFirst="0" w:colLast="0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α/α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Περιγραφή Είδους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</w:pPr>
            <w:proofErr w:type="spellStart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>Κωδικός</w:t>
            </w:r>
            <w:proofErr w:type="spellEnd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 xml:space="preserve"> / παρα</w:t>
            </w:r>
            <w:proofErr w:type="spellStart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>γωγός</w:t>
            </w:r>
            <w:proofErr w:type="spell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Ποσότητα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</w:rPr>
            </w:pPr>
            <w:proofErr w:type="spellStart"/>
            <w:r w:rsidRPr="00FA4CD6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</w:rPr>
              <w:t>Μονάδ</w:t>
            </w:r>
            <w:proofErr w:type="spellEnd"/>
            <w:r w:rsidRPr="00FA4CD6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</w:rPr>
              <w:t xml:space="preserve">α </w:t>
            </w:r>
            <w:proofErr w:type="spellStart"/>
            <w:r w:rsidRPr="00FA4CD6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</w:rPr>
              <w:t>μέτρησης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Παραπομπή σε έγγραφο του κατασκευ</w:t>
            </w: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softHyphen/>
              <w:t>αστή</w:t>
            </w:r>
          </w:p>
        </w:tc>
      </w:tr>
      <w:bookmarkEnd w:id="2"/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</w:tcPr>
          <w:p w:rsidR="00FC0391" w:rsidRPr="00FA4CD6" w:rsidRDefault="00FC0391" w:rsidP="002D5EE3">
            <w:pPr>
              <w:spacing w:after="0"/>
              <w:ind w:left="113" w:right="113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proofErr w:type="gramStart"/>
            <w:r w:rsidRPr="00FA4CD6">
              <w:rPr>
                <w:b/>
                <w:bCs/>
                <w:color w:val="000000"/>
                <w:sz w:val="19"/>
                <w:szCs w:val="19"/>
                <w:lang w:eastAsia="el-GR"/>
              </w:rPr>
              <w:t>ΠΙΝΑΚΑΣ  1</w:t>
            </w:r>
            <w:proofErr w:type="gramEnd"/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1.1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800 εκατομμύρια διαβάσματα μονής κατεύθυνσης ή 1,6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1.2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1,6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1.3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του οίκου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cartridge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RFID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). Να έχει την δυνατότητα να παράγει τουλάχιστον 1,6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6000 η διαδικασία του πολλαπλασιασμού των τμημάτων 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DNA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patterned</w:t>
            </w:r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 xml:space="preserve"> μέσω σύνθεσης.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1.4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sz w:val="19"/>
                <w:szCs w:val="19"/>
                <w:lang w:val="el-GR"/>
              </w:rPr>
              <w:t xml:space="preserve">Πλήρες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κιτ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κλωνική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βιβλιοθήκης στο σύστημα </w:t>
            </w:r>
            <w:proofErr w:type="spellStart"/>
            <w:r w:rsidRPr="00FA4CD6">
              <w:rPr>
                <w:sz w:val="19"/>
                <w:szCs w:val="19"/>
              </w:rPr>
              <w:t>NextSeq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2000 του οίκου </w:t>
            </w:r>
            <w:proofErr w:type="spellStart"/>
            <w:r w:rsidRPr="00FA4CD6">
              <w:rPr>
                <w:sz w:val="19"/>
                <w:szCs w:val="19"/>
              </w:rPr>
              <w:t>illumina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FA4CD6">
              <w:rPr>
                <w:sz w:val="19"/>
                <w:szCs w:val="19"/>
              </w:rPr>
              <w:t>cartridge</w:t>
            </w:r>
            <w:r w:rsidRPr="00FA4CD6">
              <w:rPr>
                <w:sz w:val="19"/>
                <w:szCs w:val="19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. Να επαρκούν για τουλάχιστον 100 κύκλους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αλληλούχησης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. Να φέρει σύστημα ταυτοποίησης με ραδιοσυχνότητα (</w:t>
            </w:r>
            <w:r w:rsidRPr="00FA4CD6">
              <w:rPr>
                <w:sz w:val="19"/>
                <w:szCs w:val="19"/>
              </w:rPr>
              <w:t>RFID</w:t>
            </w:r>
            <w:r w:rsidRPr="00FA4CD6">
              <w:rPr>
                <w:sz w:val="19"/>
                <w:szCs w:val="19"/>
                <w:lang w:val="el-GR"/>
              </w:rPr>
              <w:t xml:space="preserve">). Να έχει την δυνατότητα να παράγει τουλάχιστον 400 εκατομμύρια διαβάσματα μονής κατεύθυνσης ή 800 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FA4CD6">
              <w:rPr>
                <w:sz w:val="19"/>
                <w:szCs w:val="19"/>
              </w:rPr>
              <w:t>NextSeq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2000 η διαδικασία του πολλαπλασιασμού των τμημάτων </w:t>
            </w:r>
            <w:r w:rsidRPr="00FA4CD6">
              <w:rPr>
                <w:sz w:val="19"/>
                <w:szCs w:val="19"/>
              </w:rPr>
              <w:t>DNA</w:t>
            </w:r>
            <w:r w:rsidRPr="00FA4CD6">
              <w:rPr>
                <w:sz w:val="19"/>
                <w:szCs w:val="19"/>
                <w:lang w:val="el-GR"/>
              </w:rPr>
              <w:t xml:space="preserve"> προς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FA4CD6">
              <w:rPr>
                <w:sz w:val="19"/>
                <w:szCs w:val="19"/>
              </w:rPr>
              <w:t>patterned</w:t>
            </w:r>
            <w:r w:rsidRPr="00FA4CD6">
              <w:rPr>
                <w:sz w:val="19"/>
                <w:szCs w:val="19"/>
                <w:lang w:val="el-GR"/>
              </w:rPr>
              <w:t xml:space="preserve"> </w:t>
            </w:r>
            <w:proofErr w:type="spellStart"/>
            <w:r w:rsidRPr="00FA4CD6">
              <w:rPr>
                <w:sz w:val="19"/>
                <w:szCs w:val="19"/>
              </w:rPr>
              <w:t>flowcell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sz w:val="19"/>
                <w:szCs w:val="19"/>
                <w:lang w:val="el-GR"/>
              </w:rPr>
              <w:t>αλληλούχηση</w:t>
            </w:r>
            <w:proofErr w:type="spellEnd"/>
            <w:r w:rsidRPr="00FA4CD6">
              <w:rPr>
                <w:sz w:val="19"/>
                <w:szCs w:val="19"/>
                <w:lang w:val="el-GR"/>
              </w:rPr>
              <w:t xml:space="preserve"> μέσω σύνθεσης.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1.5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για την ταχεία και εύκολη προετοιμασία βιβλιοθηκών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γενωμικού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για διαδικασίες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αλληλούχισης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νέας γενιάς (</w:t>
            </w:r>
            <w:r w:rsidRPr="0050518A">
              <w:rPr>
                <w:rFonts w:asciiTheme="minorHAnsi" w:hAnsiTheme="minorHAnsi" w:cstheme="minorHAnsi"/>
                <w:sz w:val="20"/>
              </w:rPr>
              <w:t>Next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Generation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Sequencing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σε συστήματα του κατασκευαστικού οίκου </w:t>
            </w:r>
            <w:r w:rsidRPr="0050518A">
              <w:rPr>
                <w:rFonts w:asciiTheme="minorHAnsi" w:hAnsiTheme="minorHAnsi" w:cstheme="minorHAnsi"/>
                <w:sz w:val="20"/>
              </w:rPr>
              <w:t>Illumina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Η διαδικασία να ολοκληρώνεται εντός 90 λεπτών, εκ των οποίων ο χρόνος ενασχόλησης χρήστη (</w:t>
            </w:r>
            <w:r w:rsidRPr="0050518A">
              <w:rPr>
                <w:rFonts w:asciiTheme="minorHAnsi" w:hAnsiTheme="minorHAnsi" w:cstheme="minorHAnsi"/>
                <w:sz w:val="20"/>
              </w:rPr>
              <w:t>hands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-</w:t>
            </w:r>
            <w:r w:rsidRPr="0050518A">
              <w:rPr>
                <w:rFonts w:asciiTheme="minorHAnsi" w:hAnsiTheme="minorHAnsi" w:cstheme="minorHAnsi"/>
                <w:sz w:val="20"/>
              </w:rPr>
              <w:t>on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time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) να μην ξεπερνά τα 15 λεπτά. Κατά την προετοιμασία της βιβλιοθήκης να χρησιμοποιούνται ειδικά ένζυμα (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τρανσποσώματα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για τον κατακερματισμό του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γενωμικού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και την ταυτόχρονη σήμανσή του με ειδικά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ολιγονουκλεοτίδια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0518A">
              <w:rPr>
                <w:rFonts w:asciiTheme="minorHAnsi" w:hAnsiTheme="minorHAnsi" w:cstheme="minorHAnsi"/>
                <w:sz w:val="20"/>
              </w:rPr>
              <w:t>adapters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για αντιδράσεις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αλληλούχισης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δύναται να επεξεργαστεί μεγάλη ποικιλία δειγμάτων, όπως μικρά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γονιδιώματα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, προϊόντα </w:t>
            </w:r>
            <w:r w:rsidRPr="0050518A">
              <w:rPr>
                <w:rFonts w:asciiTheme="minorHAnsi" w:hAnsiTheme="minorHAnsi" w:cstheme="minorHAnsi"/>
                <w:sz w:val="20"/>
              </w:rPr>
              <w:t>PCR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(</w:t>
            </w:r>
            <w:r w:rsidRPr="0050518A">
              <w:rPr>
                <w:rFonts w:asciiTheme="minorHAnsi" w:hAnsiTheme="minorHAnsi" w:cstheme="minorHAnsi"/>
                <w:sz w:val="20"/>
              </w:rPr>
              <w:t>amplicons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 μεγαλύτερα των 300 ζευγών βάσεων,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πλασμίδια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και δίκλωνα μόρια </w:t>
            </w:r>
            <w:r w:rsidRPr="0050518A">
              <w:rPr>
                <w:rFonts w:asciiTheme="minorHAnsi" w:hAnsiTheme="minorHAnsi" w:cstheme="minorHAnsi"/>
                <w:sz w:val="20"/>
              </w:rPr>
              <w:t>cDNA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απαιτείται ελάχιστη ποσότητα αρχικού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1</w:t>
            </w:r>
            <w:r w:rsidRPr="0050518A">
              <w:rPr>
                <w:rFonts w:asciiTheme="minorHAnsi" w:hAnsiTheme="minorHAnsi" w:cstheme="minorHAnsi"/>
                <w:sz w:val="20"/>
              </w:rPr>
              <w:t>ng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Να παρέχει επαρκή αντιδραστήρια για 96 δείγματα.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288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50518A">
              <w:rPr>
                <w:color w:val="000000"/>
                <w:sz w:val="20"/>
                <w:lang w:val="en-US" w:eastAsia="el-GR"/>
              </w:rPr>
              <w:t>preps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FC0391" w:rsidRPr="00FA4CD6" w:rsidTr="002D5EE3">
        <w:trPr>
          <w:cantSplit/>
          <w:trHeight w:val="531"/>
          <w:tblHeader/>
          <w:jc w:val="center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FA4CD6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1.6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Πλήρες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κιτ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κλωνική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ενίσχυση και την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βιβλιοθήκης στο σύστημα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6000 του οίκου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illumina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, καθώς και την κυψελίδα ροής. Τα αντιδραστήρια να είναι έτοιμα προ-αναμεμειγμένα και τοποθετημένα σε ειδική κασέτα μίας χρήσης (</w:t>
            </w:r>
            <w:r w:rsidRPr="0050518A">
              <w:rPr>
                <w:rFonts w:asciiTheme="minorHAnsi" w:hAnsiTheme="minorHAnsi" w:cstheme="minorHAnsi"/>
                <w:sz w:val="20"/>
              </w:rPr>
              <w:t>cartridge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αλληλούχησης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. Να φέρει σύστημα ταυτοποίησης με ραδιοσυχνότητα (</w:t>
            </w:r>
            <w:r w:rsidRPr="0050518A">
              <w:rPr>
                <w:rFonts w:asciiTheme="minorHAnsi" w:hAnsiTheme="minorHAnsi" w:cstheme="minorHAnsi"/>
                <w:sz w:val="20"/>
              </w:rPr>
              <w:t>RFID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). Να έχει την δυνατότητα να παράγει τουλάχιστον 4,1 δισεκατομμύρια διαβάσματα μονής κατεύθυνσης ή 8,2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NovaSeq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6000 η διαδικασία του πολλαπλασιασμού των τμημάτων </w:t>
            </w:r>
            <w:r w:rsidRPr="0050518A">
              <w:rPr>
                <w:rFonts w:asciiTheme="minorHAnsi" w:hAnsiTheme="minorHAnsi" w:cstheme="minorHAnsi"/>
                <w:sz w:val="20"/>
              </w:rPr>
              <w:t>DNA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προς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, χωρίς να γίνεται καμία παρέμβαση από το χρήστη. Η προσφερόμενη κυψελίδα ροής να έχει προκατασκευασμένες οπές (</w:t>
            </w:r>
            <w:r w:rsidRPr="0050518A">
              <w:rPr>
                <w:rFonts w:asciiTheme="minorHAnsi" w:hAnsiTheme="minorHAnsi" w:cstheme="minorHAnsi"/>
                <w:sz w:val="20"/>
              </w:rPr>
              <w:t>patterned</w:t>
            </w:r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</w:t>
            </w:r>
            <w:proofErr w:type="spellStart"/>
            <w:r w:rsidRPr="0050518A">
              <w:rPr>
                <w:rFonts w:asciiTheme="minorHAnsi" w:hAnsiTheme="minorHAnsi" w:cstheme="minorHAnsi"/>
                <w:sz w:val="20"/>
              </w:rPr>
              <w:t>flowcell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), όπου συμβαίνει η ενίσχυση και η </w:t>
            </w:r>
            <w:proofErr w:type="spellStart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>αλληλούχηση</w:t>
            </w:r>
            <w:proofErr w:type="spellEnd"/>
            <w:r w:rsidRPr="00FA4CD6">
              <w:rPr>
                <w:rFonts w:asciiTheme="minorHAnsi" w:hAnsiTheme="minorHAnsi" w:cstheme="minorHAnsi"/>
                <w:sz w:val="20"/>
                <w:lang w:val="el-GR"/>
              </w:rPr>
              <w:t xml:space="preserve"> μέσω σύνθεσης.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50518A">
              <w:rPr>
                <w:color w:val="000000"/>
                <w:sz w:val="20"/>
                <w:lang w:eastAsia="el-GR"/>
              </w:rPr>
              <w:t>2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50518A">
              <w:rPr>
                <w:color w:val="000000"/>
                <w:sz w:val="20"/>
                <w:lang w:eastAsia="el-GR"/>
              </w:rPr>
              <w:t>τμχ</w:t>
            </w:r>
            <w:proofErr w:type="spell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0391" w:rsidRPr="00FA4CD6" w:rsidRDefault="00FC0391" w:rsidP="002D5EE3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bookmarkEnd w:id="1"/>
    </w:tbl>
    <w:p w:rsidR="00575B10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75B10" w:rsidRPr="00462F6E" w:rsidRDefault="00575B10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2A6992"/>
    <w:rsid w:val="0033423D"/>
    <w:rsid w:val="004517A3"/>
    <w:rsid w:val="004E4186"/>
    <w:rsid w:val="00575B10"/>
    <w:rsid w:val="005A6E5C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  <w:rsid w:val="00FC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FF4CD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2021-11-12T07:17:00Z</dcterms:created>
  <dcterms:modified xsi:type="dcterms:W3CDTF">2022-08-26T11:34:00Z</dcterms:modified>
</cp:coreProperties>
</file>