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4" w:rsidRDefault="00C41767" w:rsidP="00B81D90">
      <w:pPr>
        <w:pStyle w:val="Heading1"/>
        <w:numPr>
          <w:ilvl w:val="0"/>
          <w:numId w:val="0"/>
        </w:numPr>
        <w:jc w:val="center"/>
        <w:rPr>
          <w:rFonts w:ascii="Arial Narrow" w:hAnsi="Arial Narrow" w:cs="Arial"/>
          <w:b/>
          <w:sz w:val="36"/>
          <w:szCs w:val="36"/>
        </w:rPr>
      </w:pPr>
      <w:bookmarkStart w:id="0" w:name="_GoBack"/>
      <w:bookmarkStart w:id="1" w:name="_Toc509215610"/>
      <w:bookmarkEnd w:id="0"/>
      <w:r w:rsidRPr="0083710E">
        <w:rPr>
          <w:rFonts w:ascii="Arial Narrow" w:hAnsi="Arial Narrow" w:cs="Arial"/>
          <w:b/>
          <w:sz w:val="36"/>
          <w:szCs w:val="36"/>
        </w:rPr>
        <w:t>Τεχνικοί και λοιποί όροι</w:t>
      </w:r>
      <w:bookmarkEnd w:id="1"/>
    </w:p>
    <w:p w:rsidR="00083B4D" w:rsidRPr="00083B4D" w:rsidRDefault="00083B4D" w:rsidP="00083B4D">
      <w:pPr>
        <w:rPr>
          <w:lang w:val="el-GR" w:eastAsia="en-US"/>
        </w:rPr>
      </w:pPr>
    </w:p>
    <w:p w:rsidR="00083B4D" w:rsidRDefault="00083B4D" w:rsidP="00083B4D">
      <w:pPr>
        <w:rPr>
          <w:rFonts w:ascii="Arial Narrow" w:hAnsi="Arial Narrow"/>
          <w:sz w:val="24"/>
          <w:szCs w:val="24"/>
          <w:u w:val="double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7"/>
        <w:gridCol w:w="1500"/>
        <w:gridCol w:w="1139"/>
        <w:gridCol w:w="1300"/>
      </w:tblGrid>
      <w:tr w:rsidR="00083B4D" w:rsidTr="00D04067">
        <w:trPr>
          <w:jc w:val="center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B4D" w:rsidRDefault="00083B4D">
            <w:pPr>
              <w:rPr>
                <w:rFonts w:ascii="Arial Narrow" w:hAnsi="Arial Narrow" w:cs="Tahoma"/>
                <w:lang w:val="el-GR"/>
              </w:rPr>
            </w:pPr>
            <w:r>
              <w:rPr>
                <w:rFonts w:ascii="Arial Narrow" w:hAnsi="Arial Narrow" w:cs="Tahoma"/>
                <w:b/>
                <w:lang w:val="el-GR"/>
              </w:rPr>
              <w:t>Γενικές απαιτήσεις από τους συμμετέχοντες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B4D" w:rsidRDefault="00083B4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l-G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/>
              </w:rPr>
              <w:t>Υποχρεωτική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B4D" w:rsidRDefault="00083B4D">
            <w:pPr>
              <w:rPr>
                <w:rFonts w:ascii="Arial Narrow" w:hAnsi="Arial Narrow"/>
                <w:b/>
                <w:sz w:val="18"/>
                <w:szCs w:val="18"/>
                <w:lang w:val="el-G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/>
              </w:rPr>
              <w:t>Απάντηση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B4D" w:rsidRDefault="00083B4D">
            <w:pPr>
              <w:rPr>
                <w:rFonts w:ascii="Arial Narrow" w:hAnsi="Arial Narrow"/>
                <w:b/>
                <w:sz w:val="18"/>
                <w:szCs w:val="18"/>
                <w:lang w:val="el-GR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l-GR"/>
              </w:rPr>
              <w:t>Παραπομπή</w:t>
            </w:r>
          </w:p>
        </w:tc>
      </w:tr>
      <w:tr w:rsidR="00083B4D" w:rsidTr="00D04067">
        <w:trPr>
          <w:jc w:val="center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4D" w:rsidRDefault="00083B4D" w:rsidP="00083B4D">
            <w:pPr>
              <w:numPr>
                <w:ilvl w:val="0"/>
                <w:numId w:val="5"/>
              </w:numPr>
              <w:tabs>
                <w:tab w:val="num" w:pos="360"/>
              </w:tabs>
              <w:ind w:left="360" w:hanging="360"/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Να πληρούν τα προβλεπόμενα στην Υ.Α. ΔΥ8δ/Γ.Π. οικ. 1348/07-01-04 (ΦΕΚ 32/Β΄/16-01-04) «Αρχές και κατευθυντήριες γραμμές ορθής πρακτικής διανομής </w:t>
            </w:r>
            <w:proofErr w:type="spellStart"/>
            <w:r>
              <w:rPr>
                <w:rFonts w:ascii="Arial Narrow" w:hAnsi="Arial Narrow"/>
                <w:lang w:val="el-GR"/>
              </w:rPr>
              <w:t>ιατροτεχνολογικών</w:t>
            </w:r>
            <w:proofErr w:type="spellEnd"/>
            <w:r>
              <w:rPr>
                <w:rFonts w:ascii="Arial Narrow" w:hAnsi="Arial Narrow"/>
                <w:lang w:val="el-GR"/>
              </w:rPr>
              <w:t xml:space="preserve"> προϊόντων», όπως αυτή κάθε φορά ισχύει, για τις εταιρείες διακίνησης </w:t>
            </w:r>
            <w:proofErr w:type="spellStart"/>
            <w:r>
              <w:rPr>
                <w:rFonts w:ascii="Arial Narrow" w:hAnsi="Arial Narrow"/>
                <w:lang w:val="el-GR"/>
              </w:rPr>
              <w:t>ιατροτεχνολογικών</w:t>
            </w:r>
            <w:proofErr w:type="spellEnd"/>
            <w:r>
              <w:rPr>
                <w:rFonts w:ascii="Arial Narrow" w:hAnsi="Arial Narrow"/>
                <w:lang w:val="el-GR"/>
              </w:rPr>
              <w:t xml:space="preserve"> προϊόντων.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4D" w:rsidRDefault="00083B4D">
            <w:pPr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Όχι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both"/>
              <w:rPr>
                <w:rFonts w:ascii="Arial Narrow" w:hAnsi="Arial Narrow"/>
                <w:lang w:val="el-GR"/>
              </w:rPr>
            </w:pPr>
          </w:p>
        </w:tc>
      </w:tr>
      <w:tr w:rsidR="00083B4D" w:rsidTr="00D04067">
        <w:trPr>
          <w:jc w:val="center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4D" w:rsidRDefault="00083B4D" w:rsidP="00083B4D">
            <w:pPr>
              <w:numPr>
                <w:ilvl w:val="0"/>
                <w:numId w:val="5"/>
              </w:numPr>
              <w:tabs>
                <w:tab w:val="num" w:pos="360"/>
              </w:tabs>
              <w:ind w:left="360" w:hanging="360"/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Να διαθέτουν πιστοποιητικό ISO 9001:2008 (ή νεότερη έκδοση) για την εμπορία των ειδών.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4D" w:rsidRPr="005509F3" w:rsidRDefault="00083B4D">
            <w:pPr>
              <w:jc w:val="center"/>
              <w:rPr>
                <w:rFonts w:ascii="Arial Narrow" w:hAnsi="Arial Narrow"/>
                <w:lang w:val="el-GR"/>
              </w:rPr>
            </w:pPr>
            <w:r w:rsidRPr="005509F3">
              <w:rPr>
                <w:rFonts w:ascii="Arial Narrow" w:hAnsi="Arial Narrow"/>
                <w:lang w:val="el-GR"/>
              </w:rPr>
              <w:t>Όχι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both"/>
              <w:rPr>
                <w:rFonts w:ascii="Arial Narrow" w:hAnsi="Arial Narrow"/>
                <w:lang w:val="el-GR"/>
              </w:rPr>
            </w:pPr>
          </w:p>
        </w:tc>
      </w:tr>
      <w:tr w:rsidR="00083B4D" w:rsidTr="00D04067">
        <w:trPr>
          <w:jc w:val="center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4D" w:rsidRDefault="00083B4D" w:rsidP="00083B4D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Τα προϊόντα θα παραδίδονται το αργότερο σε 15 </w:t>
            </w:r>
            <w:proofErr w:type="spellStart"/>
            <w:r>
              <w:rPr>
                <w:rFonts w:ascii="Arial Narrow" w:hAnsi="Arial Narrow"/>
                <w:lang w:val="el-GR"/>
              </w:rPr>
              <w:t>η.η</w:t>
            </w:r>
            <w:proofErr w:type="spellEnd"/>
            <w:r>
              <w:rPr>
                <w:rFonts w:ascii="Arial Narrow" w:hAnsi="Arial Narrow"/>
                <w:lang w:val="el-GR"/>
              </w:rPr>
              <w:t xml:space="preserve"> από την παραγγελία τους, η οποία θα δίνεται από τα αρμόδια όργανα που ορίζει το Ι.ΙΒ.Ε.Α.Α με οποιοδήποτε μέσο (τηλεφωνικά, με τηλεομοιοτυπία, ηλεκτρονικό μήνυμα κλπ).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4D" w:rsidRDefault="00083B4D">
            <w:pPr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both"/>
              <w:rPr>
                <w:rFonts w:ascii="Arial Narrow" w:hAnsi="Arial Narrow"/>
                <w:lang w:val="el-GR"/>
              </w:rPr>
            </w:pPr>
          </w:p>
        </w:tc>
      </w:tr>
      <w:tr w:rsidR="00083B4D" w:rsidTr="00D04067">
        <w:trPr>
          <w:jc w:val="center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4D" w:rsidRDefault="00083B4D" w:rsidP="00083B4D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Η ημερομηνία λήξης των προϊόντων θα απέχει τουλάχιστον έξι (6) μήνες από την ημερομηνία παράδοσής τους.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4D" w:rsidRDefault="00083B4D">
            <w:pPr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both"/>
              <w:rPr>
                <w:rFonts w:ascii="Arial Narrow" w:hAnsi="Arial Narrow"/>
                <w:lang w:val="el-GR"/>
              </w:rPr>
            </w:pPr>
          </w:p>
        </w:tc>
      </w:tr>
      <w:tr w:rsidR="00083B4D" w:rsidTr="00D04067">
        <w:trPr>
          <w:jc w:val="center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4D" w:rsidRDefault="00083B4D" w:rsidP="00083B4D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Τα προϊόντα που κατά την παράδοσή τους δεν πληρούν κατά τρόπο εμφανή τα προβλεπόμενα στην διακήρυξη δεν γίνονται δεκτά, επιστρέφονται αμέσως και ο προμηθευτής είναι υποχρεωμένος να προβεί αμέσως σε αντικατάστασή τους.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4D" w:rsidRDefault="00083B4D">
            <w:pPr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both"/>
              <w:rPr>
                <w:rFonts w:ascii="Arial Narrow" w:hAnsi="Arial Narrow"/>
                <w:lang w:val="el-GR"/>
              </w:rPr>
            </w:pPr>
          </w:p>
        </w:tc>
      </w:tr>
      <w:tr w:rsidR="00083B4D" w:rsidTr="00D04067">
        <w:trPr>
          <w:jc w:val="center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4D" w:rsidRDefault="00083B4D" w:rsidP="00083B4D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Η οποιαδήποτε αναφορά σε ποσότητα ανά συσκευασία είναι ενδεικτική και δεν θα αποτελέσει στοιχείο για τον αποκλεισμό διαγωνιζόμενου.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4D" w:rsidRDefault="00083B4D">
            <w:pPr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Ναι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both"/>
              <w:rPr>
                <w:rFonts w:ascii="Arial Narrow" w:hAnsi="Arial Narrow"/>
                <w:lang w:val="el-GR"/>
              </w:rPr>
            </w:pPr>
          </w:p>
        </w:tc>
      </w:tr>
    </w:tbl>
    <w:p w:rsidR="00083B4D" w:rsidRDefault="00083B4D" w:rsidP="00083B4D">
      <w:pPr>
        <w:rPr>
          <w:rFonts w:ascii="Arial Narrow" w:hAnsi="Arial Narrow"/>
          <w:sz w:val="24"/>
          <w:szCs w:val="24"/>
          <w:u w:val="double"/>
        </w:rPr>
      </w:pPr>
    </w:p>
    <w:p w:rsidR="00083B4D" w:rsidRDefault="00083B4D" w:rsidP="00083B4D">
      <w:pPr>
        <w:ind w:left="-142"/>
        <w:jc w:val="both"/>
        <w:rPr>
          <w:rFonts w:ascii="Arial Narrow" w:hAnsi="Arial Narrow"/>
          <w:b/>
          <w:u w:val="single"/>
          <w:lang w:val="el-GR" w:eastAsia="en-US"/>
        </w:rPr>
      </w:pPr>
    </w:p>
    <w:p w:rsidR="00083B4D" w:rsidRDefault="00083B4D" w:rsidP="00083B4D">
      <w:pPr>
        <w:ind w:left="-142"/>
        <w:jc w:val="both"/>
        <w:rPr>
          <w:rFonts w:ascii="Arial Narrow" w:hAnsi="Arial Narrow"/>
          <w:b/>
          <w:u w:val="single"/>
          <w:lang w:val="el-GR" w:eastAsia="en-US"/>
        </w:rPr>
      </w:pPr>
    </w:p>
    <w:tbl>
      <w:tblPr>
        <w:tblW w:w="5527" w:type="pct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5180"/>
        <w:gridCol w:w="1304"/>
        <w:gridCol w:w="1024"/>
        <w:gridCol w:w="1564"/>
      </w:tblGrid>
      <w:tr w:rsidR="00083B4D" w:rsidTr="00D04067">
        <w:trPr>
          <w:trHeight w:val="461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b/>
                <w:lang w:val="el-GR"/>
              </w:rPr>
              <w:t>Τεχνική ανάλυση ειδών</w:t>
            </w:r>
          </w:p>
        </w:tc>
      </w:tr>
      <w:tr w:rsidR="00D04067" w:rsidRPr="005509F3" w:rsidTr="00D04067">
        <w:trPr>
          <w:trHeight w:val="800"/>
          <w:tblHeader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rPr>
                <w:rFonts w:eastAsia="Times New Roman" w:cs="Tahoma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rPr>
                <w:rFonts w:eastAsia="Times New Roman" w:cs="Tahoma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="Tahoma"/>
                <w:b/>
                <w:color w:val="000000"/>
                <w:sz w:val="20"/>
                <w:szCs w:val="20"/>
                <w:lang w:val="el-GR" w:eastAsia="el-GR"/>
              </w:rPr>
              <w:t>Περιγραφή είδους</w:t>
            </w:r>
            <w:r>
              <w:rPr>
                <w:lang w:val="el-GR"/>
              </w:rPr>
              <w:t xml:space="preserve">            (</w:t>
            </w:r>
            <w:r>
              <w:rPr>
                <w:rFonts w:eastAsia="Times New Roman" w:cs="Tahoma"/>
                <w:b/>
                <w:color w:val="000000"/>
                <w:sz w:val="20"/>
                <w:szCs w:val="20"/>
                <w:lang w:val="el-GR" w:eastAsia="el-GR"/>
              </w:rPr>
              <w:t>CPV: 33696500-0)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  <w:t>Κωδικός / παραγωγός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4D" w:rsidRDefault="00083B4D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  <w:t>Συσκευ</w:t>
            </w:r>
            <w:r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  <w:softHyphen/>
              <w:t>ασία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  <w:t>Παραπομπή σε έγγραφο του κατασκευ</w:t>
            </w:r>
            <w:r>
              <w:rPr>
                <w:rFonts w:eastAsia="Times New Roman" w:cs="Tahoma"/>
                <w:b/>
                <w:color w:val="000000"/>
                <w:sz w:val="18"/>
                <w:szCs w:val="18"/>
                <w:lang w:val="el-GR" w:eastAsia="el-GR"/>
              </w:rPr>
              <w:softHyphen/>
              <w:t>αστή</w:t>
            </w: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απομόμωση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/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καθαρισμο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(50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preps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K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απομόμωση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/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καθαρισμο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από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πηκτη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αγαρόζης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μέχρι 5 μ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g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(μέγιστη ικανότητα σύνδεσης). Συνολική διάρκεια πρωτοκόλλου: Όχι πάνω από 10 λεπτά. Οι στήλες  πρέπει να εξασφαλίζουν μηδενική κατακράτηση ρυθμιστικού διαλύματος και καμία μεταφορά ρύπων, επιτρέποντας την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έκλουση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του δείγματος σε όγκους τόσο χαμηλούς όσο 6 μ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l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. Να είναι κατάλληλο για καθαρισμό θραυσμάτων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εύρους από 50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bp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έως 25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kb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.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απομόνωση και καθαρισμό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από ιστό. Η διαδικασία να ολοκληρώνεται σε λιγότερο από 30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lastRenderedPageBreak/>
              <w:t xml:space="preserve">λεπτά. Η συσκευασία να περιλαμβάνει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Dnase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ενδεχόμενη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on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-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column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απομάκρυνση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και φίλτρα  (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shredders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) για αποτελεσματική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ομογενοποίηση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και μείωση του ιξώδους.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απομόνωση και καθαρισμό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από ιστό. Η διαδικασία να ολοκληρώνεται σε λιγότερο από 30 λεπτά. Η συσκευασία να περιλαμβάνει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Dnase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ενδεχόμενη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on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-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column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απομάκρυνση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και φίλτρα  (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shredders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) για αποτελεσματική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ομογενοποίηση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και μείωση του ιξώδους.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5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απομόνωση ολικού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από πολύ μικρούς όγκους δειγμάτων ακόμα και από ένα κύτταρο ή 0.1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mg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ιστού, με τη χρήση  τεχνολογίας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Silica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Membrane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σε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XS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κολώνες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φυγοκέντρησης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.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Η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διαδικασία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πρέπει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να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ολοκληρώνεται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εντός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45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λεπτών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6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απομόνωση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πλασμιδιακού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από βακτήρια μεγάλης κλίμακα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7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απομόνωση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πλασμιδιακού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από βακτήρια μεσαίας κλίμακας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8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Απομόνωση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γενωμικού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από κύτταρα, αίμα, ιστό .Πλήρες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kit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την ταχεία απομόνωση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γενομικού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από ζύμες, βακτήρια και ζωικούς ιστούς ή κύτταρα., με κολώνες φυγοκέντρου(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spin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-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columns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), μέσα σε 20 λεπτά μετά την κυτταρική λύση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9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E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ιδικό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απομόνωσης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γενωμικού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μελέτη μεθυλίωσης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10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καθαρισμό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από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PCR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11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Φιαλίδια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PAX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Gene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συλλογή και αποθήκευση από περιφερικό αίμα για απομόνωση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RNA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12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Μαγνητικά σφαιρίδια απομόνωσης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νουκλεϊκών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οξέων με δυνατότητα επιλογής μεγέθους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13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Μαγνητικά σφαιρίδια απομόνωσης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ανοσοσυμπλόκων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μέσω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πρωτεϊνης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G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14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Μαγνητικά σφαιρίδια απομόνωσης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νουκλεϊκών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οξέων με δυνατότητα </w:t>
            </w:r>
          </w:p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επιλογής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μεγέθους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15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ανασυνδυασμού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τμημάτων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νουκλεϊκών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οξέων από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PCR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σε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πλασμιδιακός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φορέα χωρίς τη χρήση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λιγάσης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16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2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x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έτοιμο μείγμα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πολυμεράσης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qPCR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με χρωστική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SYBR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green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και διάλυμα αντίδρασης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πολυμεράσης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.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O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απαιτούμενος χρόνος δράσης του ενζύμου στο στάδιο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lastRenderedPageBreak/>
              <w:t>του πολλαπλασιασμού  πριν την λήψη των δεδομένων φθορισμού σε πρωτόκολλο 3 σταδίων να μην ξεπερνά το 1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sec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. Ο χρόνος ενεργοποίησης του ενζύμου να είναι σύντομος και να μην ξεπερνά τα 20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sec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στους 95°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C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. Για περιοχές απαιτητικές ως προς τον πολλαπλασιασμό τους (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G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-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C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και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-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T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πλούσιες περιοχές) να μην ξεπερνά τα 3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min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. Στη συσκευασία να περιλαμβάνεται ξεχωριστά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ROX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reference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dye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high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και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low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2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x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έτοιμο μείγμα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πολυμεράσης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PCR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με διάλυμα αντίδρασης.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ταχεία αντίστροφη μεταγραφή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σε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cDNA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με χρόνο επώασης κάτω των 20 λεπτών. Να είναι κατάλληλο για αρχική ποσότητα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τουλάχιστον 1 μ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g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. Το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Kit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απαραιτήτως να περιλαμβάνει: Αντίστροφη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μεταγραφάση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(40.000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units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),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Reaction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buffer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με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dNTPs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&amp;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Mg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Oligo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dT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Primer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και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Random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6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mers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σε ξεχωριστά σωληνάρια,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RNase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free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H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2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O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,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Dilution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buffer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real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time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PCR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18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Kit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Πολυμεράσης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Taq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με διάλυμα αντίδρασης και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MgCl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2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19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Kit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Πολυμεράσης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Taq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υψηλής πιστότητας μέσω θερμής εκκίνησης με διάλυμα αντίδρασης και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MgCl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20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Αναστολέας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Rnase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l-GR" w:eastAsia="en-US"/>
              </w:rPr>
              <w:t>21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μαγνητικών σφαιριδίων για απομόνωση ανθρώπινων αρχέγονων αιμοποιητικών κυττάρων (αρνητική επιλογή για διαφοροποιημένα κύτταρα) και με βάση το αντιγόνο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CD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34 (θετική επιλογή)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trHeight w:val="42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22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μαγνητικών σφαιριδίων για απομόνωση ανθρώπινων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στελεχιαίων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αιμοποιητικών κυττάρων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με βάση το αντιγόνο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CD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34 (θετική επιλογή) κυττάρων με βάση το αντιγόνο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CD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34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trHeight w:val="342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23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K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μαγνητικών σφαιριδίων για απομόνωση ανθρώπινων κυττάρων με βάση το αντιγόνο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CD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14 σε τεχνολογία με τεχνολογία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MACS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24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μαγνητικών σφαιριδίων για απομόνωση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πρωτεινών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με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Streptavidin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25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μαγνητικών σφαιριδίων για απαλοιφή των διαφοροποιημένων αιμοποιητικών κυττάρων (αρνητική επιλογή) κυττάρων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509F3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9F3" w:rsidRDefault="005509F3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26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3" w:rsidRPr="00EC07C0" w:rsidRDefault="005509F3" w:rsidP="00D62DFE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μαγνητικών σφαιριδίων για ενεργοποίηση Τ κυττάρων μέσω </w:t>
            </w:r>
            <w:r w:rsidRPr="00A814B8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CD</w:t>
            </w:r>
            <w:r w:rsidRPr="00A814B8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3/</w:t>
            </w:r>
            <w:r w:rsidRPr="00A814B8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CD</w:t>
            </w:r>
            <w:r w:rsidRPr="005509F3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28 (για ποντίκι)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F3" w:rsidRDefault="005509F3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3" w:rsidRDefault="005509F3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F3" w:rsidRDefault="005509F3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509F3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9F3" w:rsidRDefault="005509F3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27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3" w:rsidRPr="00A814B8" w:rsidRDefault="005509F3" w:rsidP="00D62DFE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ενδοκυττάρια χρώση του </w:t>
            </w:r>
            <w:r w:rsidRPr="003357EF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FoxP</w:t>
            </w:r>
            <w:r w:rsidRPr="00A814B8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3 </w:t>
            </w:r>
            <w:r w:rsidRPr="003357EF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(δεν αφορούν κάποιο είδος συγκεκριμένα, είναι διαλύματα για χρώση </w:t>
            </w:r>
            <w:r w:rsidRPr="003357EF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lastRenderedPageBreak/>
              <w:t>και όχι τα ίδια τα αντισώματα)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F3" w:rsidRDefault="005509F3">
            <w:pPr>
              <w:rPr>
                <w:rFonts w:eastAsia="Times New Roman" w:cs="Tahoma"/>
                <w:color w:val="FF0000"/>
                <w:sz w:val="16"/>
                <w:szCs w:val="16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3" w:rsidRDefault="005509F3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F3" w:rsidRDefault="005509F3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509F3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9F3" w:rsidRDefault="005509F3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lastRenderedPageBreak/>
              <w:t>28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3" w:rsidRPr="00A814B8" w:rsidRDefault="005509F3" w:rsidP="00D62DFE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μονιμοποίηση/διάτρηση κυττάρων για </w:t>
            </w:r>
            <w:proofErr w:type="spellStart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κυτταρομετρία</w:t>
            </w:r>
            <w:proofErr w:type="spellEnd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ροής </w:t>
            </w:r>
            <w:r w:rsidRPr="003357EF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(διαλύματα για χρώση και όχι τα ίδια τα αντισώματα)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9F3" w:rsidRDefault="005509F3">
            <w:pPr>
              <w:rPr>
                <w:lang w:val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3" w:rsidRDefault="005509F3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F3" w:rsidRDefault="005509F3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509F3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9F3" w:rsidRDefault="005509F3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29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3" w:rsidRPr="00A814B8" w:rsidRDefault="005509F3" w:rsidP="00D62DFE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 w:rsidRPr="00A814B8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Διάλυμα για χρώση </w:t>
            </w:r>
            <w:proofErr w:type="spellStart"/>
            <w:r w:rsidRPr="003357EF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Annexin</w:t>
            </w:r>
            <w:proofErr w:type="spellEnd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 w:rsidRPr="003357EF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V</w:t>
            </w:r>
            <w:r w:rsidRPr="00A814B8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 w:rsidRPr="003357EF"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(δεν αφορούν κάποιο είδος συγκεκριμένα, είναι διαλύματα για χρώση και όχι τα ίδια τα αντισώματα)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9F3" w:rsidRDefault="005509F3">
            <w:pPr>
              <w:rPr>
                <w:lang w:val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3" w:rsidRDefault="005509F3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F3" w:rsidRDefault="005509F3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9F3" w:rsidRDefault="005509F3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30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F3" w:rsidRPr="00430565" w:rsidRDefault="005509F3" w:rsidP="00D62DFE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Annexin</w:t>
            </w:r>
            <w:proofErr w:type="spellEnd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V </w:t>
            </w:r>
            <w:proofErr w:type="spellStart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σε</w:t>
            </w:r>
            <w:proofErr w:type="spellEnd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Pacific Blue, </w:t>
            </w:r>
            <w:proofErr w:type="spellStart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για</w:t>
            </w:r>
            <w:proofErr w:type="spellEnd"/>
            <w:r w:rsidRPr="00A814B8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100 tests</w:t>
            </w:r>
            <w:r w:rsidRPr="00BD390B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r w:rsidRPr="003357EF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(</w:t>
            </w:r>
            <w:proofErr w:type="spellStart"/>
            <w:r w:rsidRPr="003357EF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για</w:t>
            </w:r>
            <w:proofErr w:type="spellEnd"/>
            <w:r w:rsidRPr="003357EF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357EF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ποντίκι</w:t>
            </w:r>
            <w:proofErr w:type="spellEnd"/>
            <w:r w:rsidRPr="003357EF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F3" w:rsidRDefault="005509F3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F3" w:rsidRDefault="005509F3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F3" w:rsidRDefault="005509F3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31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χρώσης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κυτοκινών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κυτταρομετρία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ροής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32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χρώσης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BrdU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για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FACS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σε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FITC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33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χρώσης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ELISA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κυτοκίνες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(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IL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2,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IFNg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,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IL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33,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IL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17), 1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τμχ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από το καθένα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34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χημειοφωταύγειας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εμφάνιση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ανοσοστύπωσης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κατά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Western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(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ECL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35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Προκατασκευασμένα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gel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ακρυλαμίδης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TGX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συμβατά με το σύστημα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Mini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Protean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της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Biorad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36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Υπόστρωμα ΤΜΒ για εμφάνιση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ELISA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37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Διάλυμα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30%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Ακρυλαμίδης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/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Bis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38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Διάλυμα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Φικόλης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με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πυκνότητα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1.119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39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Διάλυμα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Φικόλης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με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πυκνότητα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1.077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40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Δείκτες μεγέθους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gel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αγαρόζης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, 1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kb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41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Δείκτες μεγέθους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DNA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για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gel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αγαρόζης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100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bp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trHeight w:val="231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42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Προχρωματισμένος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δείκτης 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πρωτεινων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διάφορων μεγεθών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43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Προχρωματισμένος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δείκτης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πρωτεϊνων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μεγάλου μοριακού βάρους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Tr="00D04067">
        <w:trPr>
          <w:trHeight w:val="465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44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δεοξυνουκλεοτιδίων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100mM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έκαστο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RPr="005509F3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n-US"/>
              </w:rPr>
              <w:t>45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Κιτ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χρώσης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>λυσοσωμικών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ενζύμων με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CathepsinB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με τεχνολογία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Magic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Red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l-GR" w:eastAsia="en-US"/>
              </w:rPr>
              <w:t>46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C1 Single-Cell mRNA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Seq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IFC, 5-10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μm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l-GR" w:eastAsia="en-US"/>
              </w:rPr>
              <w:t>47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Nextera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XT DNA Library Preparation Kit (96 samples)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l-GR" w:eastAsia="en-US"/>
              </w:rPr>
              <w:t>48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MiSeq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Reagent Kit v2 (300 cycles)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l-GR" w:eastAsia="en-US"/>
              </w:rPr>
              <w:t>49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NEXTSEQ 500/550 HIGH OUTPUT KIT v2 (75 cycles)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l-GR" w:eastAsia="en-US"/>
              </w:rPr>
              <w:t>50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NextSeq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® 500/550 Mid Output Kit v2 (150 cycles)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l-GR" w:eastAsia="en-US"/>
              </w:rPr>
              <w:t>51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MiSeq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Reagent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Nano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Kit, v2 (500 cycles)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l-GR" w:eastAsia="en-US"/>
              </w:rPr>
              <w:t>52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MiSeq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Reagent Micro Kit, v2 (300 cycles)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04067" w:rsidTr="00D04067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B4D" w:rsidRDefault="00083B4D">
            <w:pPr>
              <w:jc w:val="center"/>
              <w:rPr>
                <w:rFonts w:ascii="Arial Narrow" w:eastAsia="Times New Roman" w:hAnsi="Arial Narrow" w:cs="Arial"/>
                <w:color w:val="000000"/>
                <w:lang w:val="el-GR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lang w:val="el-GR" w:eastAsia="en-US"/>
              </w:rPr>
              <w:t>53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4D" w:rsidRDefault="00083B4D">
            <w:pPr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Nextera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XT Index Kit (96 indexes, 384 samples)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right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4D" w:rsidRDefault="00083B4D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083B4D" w:rsidRDefault="00083B4D" w:rsidP="00083B4D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rFonts w:ascii="Arial Narrow" w:hAnsi="Arial Narrow" w:cs="Arial"/>
          <w:b/>
          <w:sz w:val="36"/>
          <w:szCs w:val="36"/>
          <w:lang w:val="en-US"/>
        </w:rPr>
      </w:pPr>
    </w:p>
    <w:sectPr w:rsidR="00083B4D" w:rsidSect="00B611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G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43A"/>
    <w:multiLevelType w:val="hybridMultilevel"/>
    <w:tmpl w:val="D80E292E"/>
    <w:lvl w:ilvl="0" w:tplc="1CFE97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37296"/>
    <w:multiLevelType w:val="multilevel"/>
    <w:tmpl w:val="2B385C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50E52B4"/>
    <w:multiLevelType w:val="multilevel"/>
    <w:tmpl w:val="E27409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767"/>
    <w:rsid w:val="0003171A"/>
    <w:rsid w:val="00083B4D"/>
    <w:rsid w:val="00485950"/>
    <w:rsid w:val="005509F3"/>
    <w:rsid w:val="00783B6C"/>
    <w:rsid w:val="00952CBA"/>
    <w:rsid w:val="00963821"/>
    <w:rsid w:val="00AA4F28"/>
    <w:rsid w:val="00B61157"/>
    <w:rsid w:val="00B81D90"/>
    <w:rsid w:val="00C41767"/>
    <w:rsid w:val="00CC65F0"/>
    <w:rsid w:val="00D04067"/>
    <w:rsid w:val="00D46354"/>
    <w:rsid w:val="00E743B1"/>
    <w:rsid w:val="00EA1835"/>
    <w:rsid w:val="00EF40FA"/>
    <w:rsid w:val="00F6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67"/>
    <w:pPr>
      <w:spacing w:after="0" w:line="240" w:lineRule="auto"/>
    </w:pPr>
    <w:rPr>
      <w:rFonts w:ascii="Tahoma" w:eastAsia="Simsun (Founder Extended)" w:hAnsi="Tahoma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41767"/>
    <w:pPr>
      <w:keepNext/>
      <w:numPr>
        <w:numId w:val="1"/>
      </w:numPr>
      <w:spacing w:line="360" w:lineRule="auto"/>
      <w:outlineLvl w:val="0"/>
    </w:pPr>
    <w:rPr>
      <w:rFonts w:ascii="GrHelvetica" w:eastAsia="Times New Roman" w:hAnsi="GrHelvetica"/>
      <w:sz w:val="24"/>
      <w:szCs w:val="20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767"/>
    <w:rPr>
      <w:rFonts w:ascii="GrHelvetica" w:eastAsia="Times New Roman" w:hAnsi="GrHelvetica" w:cs="Times New Roman"/>
      <w:sz w:val="24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Zikidou Stavroula</dc:creator>
  <cp:lastModifiedBy>Zikidou Stavroula</cp:lastModifiedBy>
  <cp:revision>11</cp:revision>
  <cp:lastPrinted>2018-12-20T10:18:00Z</cp:lastPrinted>
  <dcterms:created xsi:type="dcterms:W3CDTF">2018-04-17T08:51:00Z</dcterms:created>
  <dcterms:modified xsi:type="dcterms:W3CDTF">2018-12-20T10:18:00Z</dcterms:modified>
</cp:coreProperties>
</file>