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1B" w:rsidRDefault="00594446">
      <w:pPr>
        <w:pStyle w:val="1"/>
      </w:pPr>
      <w:bookmarkStart w:id="0" w:name="_Toc6563373"/>
      <w:bookmarkStart w:id="1" w:name="_GoBack"/>
      <w:bookmarkEnd w:id="1"/>
      <w:r>
        <w:t>Τεχνικοί και λοιποί όροι</w:t>
      </w:r>
      <w:bookmarkEnd w:id="0"/>
    </w:p>
    <w:p w:rsidR="00521B1B" w:rsidRDefault="00521B1B">
      <w:pPr>
        <w:pStyle w:val="a"/>
        <w:rPr>
          <w:rFonts w:ascii="Arial Narrow" w:hAnsi="Arial Narrow"/>
          <w:sz w:val="24"/>
          <w:szCs w:val="24"/>
          <w:u w:val="double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1425"/>
        <w:gridCol w:w="1086"/>
        <w:gridCol w:w="1240"/>
      </w:tblGrid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B1B" w:rsidRPr="001751DE" w:rsidRDefault="00594446">
            <w:pPr>
              <w:pStyle w:val="a"/>
              <w:rPr>
                <w:lang w:val="el-GR"/>
              </w:rPr>
            </w:pPr>
            <w:r>
              <w:rPr>
                <w:rStyle w:val="a0"/>
                <w:rFonts w:ascii="Arial Narrow" w:hAnsi="Arial Narrow" w:cs="Tahoma"/>
                <w:b/>
                <w:lang w:val="el-GR"/>
              </w:rPr>
              <w:t>Γενικές απαιτήσεις από τους συμμετέχοντες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Υποχρεωτική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B1B" w:rsidRDefault="00594446">
            <w:pPr>
              <w:pStyle w:val="a"/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Απάντηση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B1B" w:rsidRDefault="00594446">
            <w:pPr>
              <w:pStyle w:val="a"/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Παραπομπή</w:t>
            </w: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Να πληρούν τα προβλεπόμενα στην Υ.Α. ΔΥ8δ/Γ.Π. οικ. 1348/07-01-04 (ΦΕΚ </w:t>
            </w:r>
            <w:r>
              <w:rPr>
                <w:rFonts w:ascii="Arial Narrow" w:hAnsi="Arial Narrow"/>
                <w:lang w:val="el-GR"/>
              </w:rPr>
              <w:t>32/Β΄/16-01-04) «Αρχές και κατευθυντήριες γραμμές ορθής πρακτικής διανομής ιατροτεχνολογικών προϊόντων», όπως αυτή κάθε φορά ισχύει, για τις εταιρείες διακίνησης ιατροτεχνολογικών προϊόντων.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Όχι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Να διαθέτουν πιστοποιητικό ISO 9001:2008 (ή νεότερη </w:t>
            </w:r>
            <w:r>
              <w:rPr>
                <w:rFonts w:ascii="Arial Narrow" w:hAnsi="Arial Narrow"/>
                <w:lang w:val="el-GR"/>
              </w:rPr>
              <w:t>έκδοση) για την εμπορία των ειδών.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Όχι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Τα προϊόντα θα παραδίδονται το αργότερο σε 30 η.η από την παραγγελία τους, η οποία θα δίνεται από τα αρμόδια όργανα που ορίζει το Ι.ΙΒ.Ε.Α.Α με οποιοδήποτε μέσο (τηλεφωνικά, με τηλεομοιοτυπία, ηλεκτρονικό μήνυμα κλ</w:t>
            </w:r>
            <w:r>
              <w:rPr>
                <w:rFonts w:ascii="Arial Narrow" w:hAnsi="Arial Narrow"/>
                <w:lang w:val="el-GR"/>
              </w:rPr>
              <w:t>π).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Η ημερομηνία λήξης των προϊόντων θα απέχει τουλάχιστον έξι (6) μήνες από την ημερομηνία παράδοσής τους.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Τα προϊόντα που κατά την παράδοσή τους δεν πληρούν κατά τρόπο εμφανή τα προβλεπόμενα στην διακήρυξη δεν γίνονται δεκτά, επιστρέφονται </w:t>
            </w:r>
            <w:r>
              <w:rPr>
                <w:rFonts w:ascii="Arial Narrow" w:hAnsi="Arial Narrow"/>
                <w:lang w:val="el-GR"/>
              </w:rPr>
              <w:t>αμέσως και ο προμηθευτής είναι υποχρεωμένος να προβεί αμέσως σε αντικατάστασή τους.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Η οποιαδήποτε αναφορά σε ποσότητα ανά συσκευασία είναι ενδεικτική και δεν θα αποτελέσει στοιχείο για τον αποκλεισμό διαγωνιζόμενου.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both"/>
              <w:rPr>
                <w:rFonts w:ascii="Arial Narrow" w:hAnsi="Arial Narrow"/>
                <w:lang w:val="el-GR"/>
              </w:rPr>
            </w:pPr>
          </w:p>
        </w:tc>
      </w:tr>
    </w:tbl>
    <w:p w:rsidR="00521B1B" w:rsidRDefault="00521B1B">
      <w:pPr>
        <w:pStyle w:val="a1"/>
        <w:keepNext/>
        <w:rPr>
          <w:rFonts w:ascii="Arial Narrow" w:hAnsi="Arial Narrow" w:cs="Arial"/>
          <w:sz w:val="24"/>
          <w:szCs w:val="24"/>
        </w:rPr>
      </w:pPr>
    </w:p>
    <w:p w:rsidR="00521B1B" w:rsidRDefault="00594446">
      <w:pPr>
        <w:pStyle w:val="a1"/>
        <w:keepNext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Πίνακας 2</w:t>
      </w:r>
    </w:p>
    <w:tbl>
      <w:tblPr>
        <w:tblW w:w="539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3"/>
        <w:gridCol w:w="997"/>
        <w:gridCol w:w="1410"/>
        <w:gridCol w:w="1284"/>
        <w:gridCol w:w="1006"/>
        <w:gridCol w:w="1137"/>
        <w:gridCol w:w="837"/>
        <w:gridCol w:w="1195"/>
      </w:tblGrid>
      <w:tr w:rsidR="00521B1B">
        <w:tblPrEx>
          <w:tblCellMar>
            <w:top w:w="0" w:type="dxa"/>
            <w:bottom w:w="0" w:type="dxa"/>
          </w:tblCellMar>
        </w:tblPrEx>
        <w:trPr>
          <w:trHeight w:val="326"/>
          <w:tblHeader/>
          <w:jc w:val="center"/>
        </w:trPr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</w:pPr>
            <w:r>
              <w:rPr>
                <w:rStyle w:val="a0"/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α/α Ειδών</w:t>
            </w:r>
            <w:r>
              <w:rPr>
                <w:rStyle w:val="a0"/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Περιγραφή είδους (CPV: 33651520-9)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Κωδικός / παραγωγός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Συσκευ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softHyphen/>
              <w:t>ασία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Παραπομπή σε έγγραφο του κατασκευ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softHyphen/>
              <w:t>αστή</w:t>
            </w: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1167"/>
          <w:tblHeader/>
          <w:jc w:val="center"/>
        </w:trPr>
        <w:tc>
          <w:tcPr>
            <w:tcW w:w="1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Αντισώματα για δείκτες (Αntibodies against)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Ειδικότητα με το είδος (Species Reactivity)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Σύζευξη (Conjugation)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jc w:val="center"/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21"/>
                <w:szCs w:val="21"/>
                <w:lang w:val="el-GR" w:eastAsia="el-GR"/>
              </w:rPr>
              <w:t>Κλώνοι (clone)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GK1.5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Tahoma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Tahoma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Tahoma"/>
                <w:color w:val="000000"/>
                <w:sz w:val="21"/>
                <w:szCs w:val="21"/>
                <w:lang w:eastAsia="el-GR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CD11c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N418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CD8a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53-6.7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RM4-4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FOXP3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150D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GK1.5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17A2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CD11b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M1/70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CD45.1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mouse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HCD14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CD45RA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HI100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BC96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Helios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FITC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22F6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3G8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Foxp3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150D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CD207 (langerin)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4C7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Helios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22F6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3G8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CD11c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CD38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HB-7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A019D5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6H6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CD11b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M1/70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KLRG1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2F1/KLRG1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IM7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UCHT-1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2D10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HLA-DR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L243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5.00E+10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CD11b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M1/70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HI10a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2D1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CD49f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Briliant Violet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GoH3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3G8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2H7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CD86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IT2.2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PercP cy5.5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W6D3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39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PercP cy5.5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IM7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CD11b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PercP cy5.5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ICRF44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PercP cy5.5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2D10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Podoplanin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PercP cy5.5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NC-08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Pacific Blue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IM7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PE/Cy5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IM7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510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HIB19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CD1c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510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L161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SK1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CD11b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APC/Cy7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ICRF44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49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PDL1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Human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Briliant Violet 711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29E.2A3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  <w:tr w:rsidR="00521B1B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21B1B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94446">
            <w:pPr>
              <w:pStyle w:val="a"/>
              <w:tabs>
                <w:tab w:val="left" w:pos="131"/>
              </w:tabs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  <w:t>50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B" w:rsidRDefault="00594446">
            <w:pPr>
              <w:pStyle w:val="a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Κιτ τετράχρωμου αντιδραστηρίου άμεσου ανοσοφθορισμού για χρήση σε κυτταρομετρία ροής.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right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Default="00521B1B">
            <w:pPr>
              <w:pStyle w:val="a"/>
              <w:jc w:val="center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l-GR" w:eastAsia="en-US"/>
              </w:rPr>
            </w:pPr>
          </w:p>
        </w:tc>
      </w:tr>
    </w:tbl>
    <w:p w:rsidR="00521B1B" w:rsidRDefault="00521B1B">
      <w:pPr>
        <w:pStyle w:val="a"/>
        <w:rPr>
          <w:rFonts w:ascii="Arial Narrow" w:hAnsi="Arial Narrow"/>
          <w:sz w:val="24"/>
          <w:szCs w:val="24"/>
          <w:u w:val="double"/>
          <w:lang w:val="el-GR"/>
        </w:rPr>
      </w:pPr>
    </w:p>
    <w:p w:rsidR="00521B1B" w:rsidRDefault="00521B1B">
      <w:pPr>
        <w:pStyle w:val="a"/>
        <w:rPr>
          <w:rFonts w:ascii="Arial Narrow" w:hAnsi="Arial Narrow"/>
          <w:sz w:val="24"/>
          <w:szCs w:val="24"/>
          <w:u w:val="double"/>
          <w:lang w:val="el-GR"/>
        </w:rPr>
      </w:pPr>
    </w:p>
    <w:p w:rsidR="00521B1B" w:rsidRPr="001751DE" w:rsidRDefault="00594446">
      <w:pPr>
        <w:pStyle w:val="a"/>
        <w:jc w:val="center"/>
        <w:rPr>
          <w:lang w:val="el-GR"/>
        </w:rPr>
      </w:pPr>
      <w:r>
        <w:rPr>
          <w:rStyle w:val="a0"/>
          <w:rFonts w:ascii="Calibri" w:eastAsia="Times New Roman" w:hAnsi="Calibri" w:cs="Calibri"/>
          <w:color w:val="000000"/>
          <w:sz w:val="20"/>
          <w:szCs w:val="20"/>
          <w:lang w:val="el-GR" w:eastAsia="en-US"/>
        </w:rPr>
        <w:t>Η προκηρυσσόμενη σύμβαση περιλαμβάνει ομάδα 49 ανοσφαιρινών και 1</w:t>
      </w:r>
      <w:r>
        <w:rPr>
          <w:rStyle w:val="a0"/>
          <w:rFonts w:ascii="Calibri" w:eastAsia="Times New Roman" w:hAnsi="Calibri" w:cs="Calibri"/>
          <w:color w:val="000000"/>
          <w:sz w:val="20"/>
          <w:szCs w:val="20"/>
          <w:vertAlign w:val="superscript"/>
          <w:lang w:val="el-GR" w:eastAsia="en-US"/>
        </w:rPr>
        <w:t>ος</w:t>
      </w:r>
      <w:r>
        <w:rPr>
          <w:rStyle w:val="a0"/>
          <w:rFonts w:ascii="Calibri" w:eastAsia="Times New Roman" w:hAnsi="Calibri" w:cs="Calibri"/>
          <w:color w:val="000000"/>
          <w:sz w:val="20"/>
          <w:szCs w:val="20"/>
          <w:lang w:val="el-GR" w:eastAsia="en-US"/>
        </w:rPr>
        <w:t xml:space="preserve"> </w:t>
      </w:r>
      <w:r>
        <w:rPr>
          <w:rStyle w:val="a0"/>
          <w:rFonts w:ascii="Calibri" w:eastAsia="Times New Roman" w:hAnsi="Calibri" w:cs="Calibri"/>
          <w:color w:val="000000"/>
          <w:sz w:val="20"/>
          <w:szCs w:val="20"/>
          <w:lang w:val="el-GR" w:eastAsia="en-US"/>
        </w:rPr>
        <w:t xml:space="preserve">κιτ τετράχρωμου αντιδραστηρίου άμεσου ανοσοφθορισμού για χρήση σε κυτταρομετρία ροής, σχεδιασμένο για τον ταυτόχρονο προσδιορισμό των κύριων υποπληθυσμών των λεμφοκυττάρων. </w:t>
      </w:r>
    </w:p>
    <w:p w:rsidR="00521B1B" w:rsidRDefault="00594446">
      <w:pPr>
        <w:pStyle w:val="a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el-GR" w:eastAsia="en-US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el-GR" w:eastAsia="en-US"/>
        </w:rPr>
        <w:t xml:space="preserve">Οι προσφορές θα πρέπει να περιλαμβάνουν όλα τα είδη, από 1.1 έως και 1.50. </w:t>
      </w:r>
    </w:p>
    <w:p w:rsidR="00521B1B" w:rsidRDefault="00594446">
      <w:pPr>
        <w:pStyle w:val="a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el-GR" w:eastAsia="en-US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el-GR" w:eastAsia="en-US"/>
        </w:rPr>
        <w:t>Προσφο</w:t>
      </w:r>
      <w:r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el-GR" w:eastAsia="en-US"/>
        </w:rPr>
        <w:t>ρά η οποία δεν αφορά στο σύνολο των ειδών απορρίπτεται.</w:t>
      </w:r>
    </w:p>
    <w:p w:rsidR="00521B1B" w:rsidRPr="001751DE" w:rsidRDefault="00521B1B">
      <w:pPr>
        <w:pStyle w:val="a"/>
        <w:rPr>
          <w:lang w:val="el-GR"/>
        </w:rPr>
      </w:pPr>
    </w:p>
    <w:sectPr w:rsidR="00521B1B" w:rsidRPr="001751D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46" w:rsidRDefault="00594446">
      <w:pPr>
        <w:spacing w:after="0" w:line="240" w:lineRule="auto"/>
      </w:pPr>
      <w:r>
        <w:separator/>
      </w:r>
    </w:p>
  </w:endnote>
  <w:endnote w:type="continuationSeparator" w:id="0">
    <w:p w:rsidR="00594446" w:rsidRDefault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charset w:val="00"/>
    <w:family w:val="script"/>
    <w:pitch w:val="fixed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46" w:rsidRDefault="005944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446" w:rsidRDefault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D95"/>
    <w:multiLevelType w:val="multilevel"/>
    <w:tmpl w:val="C062FD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DC9"/>
    <w:multiLevelType w:val="multilevel"/>
    <w:tmpl w:val="2D265848"/>
    <w:styleLink w:val="WWOutlineListStyl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1AD4979"/>
    <w:multiLevelType w:val="multilevel"/>
    <w:tmpl w:val="FABA49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1B1B"/>
    <w:rsid w:val="001751DE"/>
    <w:rsid w:val="00521B1B"/>
    <w:rsid w:val="005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1CD5-F140-4DC1-89F8-495688B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1">
    <w:name w:val="Επικεφαλίδα 1"/>
    <w:basedOn w:val="a"/>
    <w:next w:val="a"/>
    <w:pPr>
      <w:keepNext/>
      <w:numPr>
        <w:numId w:val="1"/>
      </w:numPr>
      <w:spacing w:line="360" w:lineRule="auto"/>
      <w:outlineLvl w:val="0"/>
    </w:pPr>
    <w:rPr>
      <w:rFonts w:ascii="GrHelvetica" w:eastAsia="Times New Roman" w:hAnsi="GrHelvetica"/>
      <w:sz w:val="24"/>
      <w:szCs w:val="20"/>
      <w:lang w:val="el-GR" w:eastAsia="en-US"/>
    </w:rPr>
  </w:style>
  <w:style w:type="paragraph" w:customStyle="1" w:styleId="a">
    <w:name w:val="Βασικό"/>
    <w:pPr>
      <w:suppressAutoHyphens/>
      <w:spacing w:after="0" w:line="240" w:lineRule="auto"/>
    </w:pPr>
    <w:rPr>
      <w:rFonts w:ascii="Tahoma" w:eastAsia="Simsun (Founder Extended)" w:hAnsi="Tahoma"/>
      <w:lang w:val="en-US" w:eastAsia="zh-CN"/>
    </w:rPr>
  </w:style>
  <w:style w:type="character" w:customStyle="1" w:styleId="a0">
    <w:name w:val="Προεπιλεγμένη γραμματοσειρά"/>
  </w:style>
  <w:style w:type="character" w:customStyle="1" w:styleId="1Char">
    <w:name w:val="Επικεφαλίδα 1 Char"/>
    <w:basedOn w:val="a0"/>
    <w:rPr>
      <w:rFonts w:ascii="GrHelvetica" w:eastAsia="Times New Roman" w:hAnsi="GrHelvetica" w:cs="Times New Roman"/>
      <w:sz w:val="24"/>
      <w:szCs w:val="20"/>
    </w:rPr>
  </w:style>
  <w:style w:type="paragraph" w:customStyle="1" w:styleId="a1">
    <w:name w:val="Λεζάντα"/>
    <w:basedOn w:val="a"/>
    <w:next w:val="a"/>
    <w:pPr>
      <w:spacing w:before="120" w:after="120"/>
    </w:pPr>
    <w:rPr>
      <w:rFonts w:ascii="Times New Roman" w:eastAsia="Times New Roman" w:hAnsi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DIONUSSIS</dc:creator>
  <cp:lastModifiedBy>Freideriki Printezi</cp:lastModifiedBy>
  <cp:revision>2</cp:revision>
  <dcterms:created xsi:type="dcterms:W3CDTF">2020-04-22T09:41:00Z</dcterms:created>
  <dcterms:modified xsi:type="dcterms:W3CDTF">2020-04-22T09:41:00Z</dcterms:modified>
</cp:coreProperties>
</file>